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9F9" w:rsidRPr="00704FF4" w:rsidRDefault="00DB09F9" w:rsidP="00DB09F9">
      <w:pPr>
        <w:spacing w:before="360" w:after="120"/>
        <w:ind w:left="425"/>
        <w:jc w:val="center"/>
        <w:rPr>
          <w:rFonts w:ascii="Times New Roman" w:eastAsia="Calibri" w:hAnsi="Times New Roman"/>
          <w:b/>
          <w:caps/>
          <w:noProof w:val="0"/>
          <w:sz w:val="22"/>
          <w:szCs w:val="22"/>
        </w:rPr>
      </w:pPr>
      <w:r w:rsidRPr="00704FF4">
        <w:rPr>
          <w:rFonts w:ascii="Times New Roman" w:eastAsia="Calibri" w:hAnsi="Times New Roman"/>
          <w:b/>
          <w:caps/>
          <w:noProof w:val="0"/>
          <w:sz w:val="22"/>
          <w:szCs w:val="22"/>
        </w:rPr>
        <w:t>ОБОСНОВАНИЕ начальной (максимальной) цены договора</w:t>
      </w:r>
      <w:r w:rsidRPr="00704FF4">
        <w:rPr>
          <w:rFonts w:ascii="Times New Roman" w:eastAsia="Calibri" w:hAnsi="Times New Roman"/>
          <w:noProof w:val="0"/>
          <w:sz w:val="22"/>
          <w:szCs w:val="22"/>
        </w:rPr>
        <w:t xml:space="preserve"> / </w:t>
      </w:r>
      <w:r w:rsidRPr="00704FF4">
        <w:rPr>
          <w:rFonts w:ascii="Times New Roman" w:eastAsia="Calibri" w:hAnsi="Times New Roman"/>
          <w:b/>
          <w:caps/>
          <w:noProof w:val="0"/>
          <w:sz w:val="22"/>
          <w:szCs w:val="22"/>
        </w:rPr>
        <w:t>цены единицы товара, работы, услуги</w:t>
      </w:r>
    </w:p>
    <w:p w:rsidR="00DB09F9" w:rsidRPr="00704FF4" w:rsidRDefault="00DB09F9" w:rsidP="00DB09F9">
      <w:pPr>
        <w:numPr>
          <w:ilvl w:val="0"/>
          <w:numId w:val="1"/>
        </w:numPr>
        <w:spacing w:before="120" w:after="120" w:line="360" w:lineRule="exact"/>
        <w:ind w:left="714" w:hanging="357"/>
        <w:jc w:val="both"/>
        <w:rPr>
          <w:rFonts w:ascii="Times New Roman" w:eastAsia="Calibri" w:hAnsi="Times New Roman"/>
          <w:b/>
          <w:noProof w:val="0"/>
          <w:sz w:val="22"/>
          <w:szCs w:val="22"/>
        </w:rPr>
      </w:pPr>
      <w:r w:rsidRPr="00704FF4">
        <w:rPr>
          <w:rFonts w:ascii="Times New Roman" w:eastAsia="Calibri" w:hAnsi="Times New Roman"/>
          <w:b/>
          <w:noProof w:val="0"/>
          <w:sz w:val="22"/>
          <w:szCs w:val="22"/>
        </w:rPr>
        <w:t>Общая информация</w:t>
      </w:r>
    </w:p>
    <w:tbl>
      <w:tblPr>
        <w:tblStyle w:val="1"/>
        <w:tblW w:w="9952" w:type="dxa"/>
        <w:tblLook w:val="04A0" w:firstRow="1" w:lastRow="0" w:firstColumn="1" w:lastColumn="0" w:noHBand="0" w:noVBand="1"/>
      </w:tblPr>
      <w:tblGrid>
        <w:gridCol w:w="709"/>
        <w:gridCol w:w="3685"/>
        <w:gridCol w:w="5558"/>
      </w:tblGrid>
      <w:tr w:rsidR="00DB09F9" w:rsidRPr="00704FF4" w:rsidTr="00597FBC">
        <w:tc>
          <w:tcPr>
            <w:tcW w:w="709" w:type="dxa"/>
            <w:vAlign w:val="center"/>
          </w:tcPr>
          <w:p w:rsidR="00DB09F9" w:rsidRPr="00704FF4" w:rsidRDefault="00DB09F9" w:rsidP="00844828">
            <w:pPr>
              <w:spacing w:before="120" w:line="360" w:lineRule="exact"/>
              <w:contextualSpacing/>
              <w:rPr>
                <w:rFonts w:ascii="Times New Roman" w:eastAsia="Calibri" w:hAnsi="Times New Roman"/>
                <w:noProof w:val="0"/>
                <w:sz w:val="22"/>
                <w:szCs w:val="22"/>
              </w:rPr>
            </w:pPr>
            <w:r w:rsidRPr="00704FF4">
              <w:rPr>
                <w:rFonts w:ascii="Times New Roman" w:eastAsia="Calibri" w:hAnsi="Times New Roman"/>
                <w:noProof w:val="0"/>
                <w:sz w:val="22"/>
                <w:szCs w:val="22"/>
              </w:rPr>
              <w:t>№ п/п</w:t>
            </w:r>
          </w:p>
        </w:tc>
        <w:tc>
          <w:tcPr>
            <w:tcW w:w="3685" w:type="dxa"/>
            <w:vAlign w:val="center"/>
          </w:tcPr>
          <w:p w:rsidR="00DB09F9" w:rsidRPr="00704FF4" w:rsidRDefault="00DB09F9" w:rsidP="00844828">
            <w:pPr>
              <w:spacing w:before="120" w:line="360" w:lineRule="exact"/>
              <w:contextualSpacing/>
              <w:rPr>
                <w:rFonts w:ascii="Times New Roman" w:eastAsia="Calibri" w:hAnsi="Times New Roman"/>
                <w:noProof w:val="0"/>
                <w:sz w:val="22"/>
                <w:szCs w:val="22"/>
              </w:rPr>
            </w:pPr>
            <w:r w:rsidRPr="00704FF4">
              <w:rPr>
                <w:rFonts w:ascii="Times New Roman" w:eastAsia="Calibri" w:hAnsi="Times New Roman"/>
                <w:noProof w:val="0"/>
                <w:sz w:val="22"/>
                <w:szCs w:val="22"/>
              </w:rPr>
              <w:t>Наименование</w:t>
            </w:r>
          </w:p>
        </w:tc>
        <w:tc>
          <w:tcPr>
            <w:tcW w:w="5558" w:type="dxa"/>
            <w:vAlign w:val="center"/>
          </w:tcPr>
          <w:p w:rsidR="00DB09F9" w:rsidRPr="00704FF4" w:rsidRDefault="00DB09F9" w:rsidP="00844828">
            <w:pPr>
              <w:spacing w:before="120" w:line="360" w:lineRule="exact"/>
              <w:contextualSpacing/>
              <w:rPr>
                <w:rFonts w:ascii="Times New Roman" w:eastAsia="Calibri" w:hAnsi="Times New Roman"/>
                <w:noProof w:val="0"/>
                <w:sz w:val="22"/>
                <w:szCs w:val="22"/>
              </w:rPr>
            </w:pPr>
            <w:r w:rsidRPr="00704FF4">
              <w:rPr>
                <w:rFonts w:ascii="Times New Roman" w:eastAsia="Calibri" w:hAnsi="Times New Roman"/>
                <w:noProof w:val="0"/>
                <w:sz w:val="22"/>
                <w:szCs w:val="22"/>
              </w:rPr>
              <w:t>Информация по лоту</w:t>
            </w:r>
          </w:p>
        </w:tc>
      </w:tr>
      <w:tr w:rsidR="00DB09F9" w:rsidRPr="00704FF4" w:rsidTr="00597FBC">
        <w:tc>
          <w:tcPr>
            <w:tcW w:w="709" w:type="dxa"/>
            <w:vAlign w:val="center"/>
          </w:tcPr>
          <w:p w:rsidR="00DB09F9" w:rsidRPr="00704FF4" w:rsidRDefault="00DB09F9" w:rsidP="00DB09F9">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vAlign w:val="center"/>
          </w:tcPr>
          <w:p w:rsidR="00DB09F9" w:rsidRPr="00704FF4" w:rsidRDefault="00DB09F9" w:rsidP="00844828">
            <w:pPr>
              <w:spacing w:before="120" w:line="360" w:lineRule="exact"/>
              <w:contextualSpacing/>
              <w:rPr>
                <w:rFonts w:ascii="Times New Roman" w:eastAsia="Calibri" w:hAnsi="Times New Roman"/>
                <w:noProof w:val="0"/>
                <w:sz w:val="22"/>
                <w:szCs w:val="22"/>
              </w:rPr>
            </w:pPr>
            <w:r w:rsidRPr="00704FF4">
              <w:rPr>
                <w:rFonts w:ascii="Times New Roman" w:eastAsia="Calibri" w:hAnsi="Times New Roman"/>
                <w:noProof w:val="0"/>
                <w:sz w:val="22"/>
                <w:szCs w:val="22"/>
              </w:rPr>
              <w:t>Наименование лота</w:t>
            </w:r>
          </w:p>
        </w:tc>
        <w:tc>
          <w:tcPr>
            <w:tcW w:w="5558" w:type="dxa"/>
            <w:shd w:val="clear" w:color="auto" w:fill="auto"/>
            <w:vAlign w:val="center"/>
          </w:tcPr>
          <w:p w:rsidR="00DB09F9" w:rsidRPr="00D717A9" w:rsidRDefault="00D717A9" w:rsidP="00251AE8">
            <w:pPr>
              <w:rPr>
                <w:rFonts w:ascii="Times New Roman" w:eastAsia="Times New Roman" w:hAnsi="Times New Roman"/>
                <w:noProof w:val="0"/>
                <w:snapToGrid w:val="0"/>
                <w:szCs w:val="24"/>
                <w:shd w:val="clear" w:color="auto" w:fill="FFFF99"/>
                <w:lang w:eastAsia="ru-RU"/>
              </w:rPr>
            </w:pPr>
            <w:r w:rsidRPr="00D717A9">
              <w:rPr>
                <w:rFonts w:ascii="Times New Roman" w:hAnsi="Times New Roman"/>
                <w:sz w:val="22"/>
                <w:szCs w:val="22"/>
              </w:rPr>
              <w:t>Подготовка отчета об оценке размера платы по соглашению об установлении сервитута/публичного сервитута на земельный участок под объектом строительства, включая  убытки, причиненные правообладателю земельного участка для нужд филиала "Амурские ЭС" (рамочный договор)</w:t>
            </w:r>
          </w:p>
        </w:tc>
      </w:tr>
      <w:tr w:rsidR="00DB09F9" w:rsidRPr="00704FF4" w:rsidTr="00597FBC">
        <w:tc>
          <w:tcPr>
            <w:tcW w:w="709" w:type="dxa"/>
            <w:vAlign w:val="center"/>
          </w:tcPr>
          <w:p w:rsidR="00DB09F9" w:rsidRPr="00704FF4" w:rsidRDefault="00DB09F9" w:rsidP="00DB09F9">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vAlign w:val="center"/>
          </w:tcPr>
          <w:p w:rsidR="00DB09F9" w:rsidRPr="00704FF4" w:rsidRDefault="00DB09F9" w:rsidP="00844828">
            <w:pPr>
              <w:spacing w:before="120" w:line="360" w:lineRule="exact"/>
              <w:contextualSpacing/>
              <w:rPr>
                <w:rFonts w:ascii="Times New Roman" w:eastAsia="Calibri" w:hAnsi="Times New Roman"/>
                <w:noProof w:val="0"/>
                <w:sz w:val="22"/>
                <w:szCs w:val="22"/>
              </w:rPr>
            </w:pPr>
            <w:r w:rsidRPr="00704FF4">
              <w:rPr>
                <w:rFonts w:ascii="Times New Roman" w:eastAsia="Calibri" w:hAnsi="Times New Roman"/>
                <w:noProof w:val="0"/>
                <w:sz w:val="22"/>
                <w:szCs w:val="22"/>
              </w:rPr>
              <w:t>Номер лота</w:t>
            </w:r>
          </w:p>
        </w:tc>
        <w:tc>
          <w:tcPr>
            <w:tcW w:w="5558" w:type="dxa"/>
            <w:vAlign w:val="center"/>
          </w:tcPr>
          <w:p w:rsidR="00DB09F9" w:rsidRPr="00D717A9" w:rsidRDefault="00D717A9" w:rsidP="00844828">
            <w:pPr>
              <w:spacing w:before="60" w:after="60" w:line="360" w:lineRule="exact"/>
              <w:rPr>
                <w:rFonts w:ascii="Times New Roman" w:eastAsia="Times New Roman" w:hAnsi="Times New Roman"/>
                <w:noProof w:val="0"/>
                <w:snapToGrid w:val="0"/>
                <w:sz w:val="22"/>
                <w:szCs w:val="22"/>
                <w:lang w:eastAsia="ru-RU"/>
              </w:rPr>
            </w:pPr>
            <w:r w:rsidRPr="00D717A9">
              <w:rPr>
                <w:rFonts w:ascii="Times New Roman" w:hAnsi="Times New Roman"/>
                <w:sz w:val="22"/>
                <w:szCs w:val="22"/>
              </w:rPr>
              <w:t>11701-КС ПИР СМР-2022</w:t>
            </w:r>
          </w:p>
        </w:tc>
      </w:tr>
      <w:tr w:rsidR="00DB09F9" w:rsidRPr="00704FF4" w:rsidTr="00597FBC">
        <w:tc>
          <w:tcPr>
            <w:tcW w:w="709" w:type="dxa"/>
            <w:vAlign w:val="center"/>
          </w:tcPr>
          <w:p w:rsidR="00DB09F9" w:rsidRPr="00704FF4" w:rsidRDefault="00DB09F9" w:rsidP="00DB09F9">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vAlign w:val="center"/>
          </w:tcPr>
          <w:p w:rsidR="00DB09F9" w:rsidRPr="00704FF4" w:rsidRDefault="000C65AD" w:rsidP="00844828">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Максимальная предельная цена договора</w:t>
            </w:r>
          </w:p>
        </w:tc>
        <w:tc>
          <w:tcPr>
            <w:tcW w:w="5558" w:type="dxa"/>
            <w:vAlign w:val="center"/>
          </w:tcPr>
          <w:p w:rsidR="00DB09F9" w:rsidRPr="00704FF4" w:rsidRDefault="00D717A9" w:rsidP="004B6133">
            <w:pPr>
              <w:spacing w:before="60" w:after="60" w:line="360" w:lineRule="exact"/>
              <w:rPr>
                <w:rFonts w:ascii="Times New Roman" w:eastAsia="Times New Roman" w:hAnsi="Times New Roman"/>
                <w:i/>
                <w:noProof w:val="0"/>
                <w:snapToGrid w:val="0"/>
                <w:sz w:val="22"/>
                <w:szCs w:val="22"/>
                <w:lang w:eastAsia="ru-RU"/>
              </w:rPr>
            </w:pPr>
            <w:r>
              <w:rPr>
                <w:rFonts w:ascii="Times New Roman" w:eastAsia="Times New Roman" w:hAnsi="Times New Roman"/>
                <w:i/>
                <w:noProof w:val="0"/>
                <w:snapToGrid w:val="0"/>
                <w:sz w:val="22"/>
                <w:szCs w:val="22"/>
                <w:lang w:eastAsia="ru-RU"/>
              </w:rPr>
              <w:t>2 000 000,00</w:t>
            </w:r>
            <w:r w:rsidR="00251AE8">
              <w:rPr>
                <w:rFonts w:ascii="Times New Roman" w:eastAsia="Times New Roman" w:hAnsi="Times New Roman"/>
                <w:i/>
                <w:noProof w:val="0"/>
                <w:snapToGrid w:val="0"/>
                <w:sz w:val="22"/>
                <w:szCs w:val="22"/>
                <w:lang w:eastAsia="ru-RU"/>
              </w:rPr>
              <w:t xml:space="preserve"> руб. без НДС</w:t>
            </w:r>
          </w:p>
        </w:tc>
      </w:tr>
    </w:tbl>
    <w:p w:rsidR="00DB09F9" w:rsidRPr="00704FF4" w:rsidRDefault="00DB09F9" w:rsidP="00DB09F9">
      <w:pPr>
        <w:numPr>
          <w:ilvl w:val="0"/>
          <w:numId w:val="1"/>
        </w:numPr>
        <w:spacing w:before="120" w:after="120" w:line="360" w:lineRule="exact"/>
        <w:ind w:left="714" w:hanging="357"/>
        <w:jc w:val="both"/>
        <w:rPr>
          <w:rFonts w:ascii="Times New Roman" w:eastAsia="Calibri" w:hAnsi="Times New Roman"/>
          <w:b/>
          <w:noProof w:val="0"/>
          <w:sz w:val="22"/>
          <w:szCs w:val="22"/>
        </w:rPr>
      </w:pPr>
      <w:r w:rsidRPr="00704FF4">
        <w:rPr>
          <w:rFonts w:ascii="Times New Roman" w:eastAsia="Calibri" w:hAnsi="Times New Roman"/>
          <w:b/>
          <w:noProof w:val="0"/>
          <w:sz w:val="22"/>
          <w:szCs w:val="22"/>
        </w:rPr>
        <w:t>Использованный метод (методы) расчета НМЦ / цены единицы товара, работы, услуги:</w:t>
      </w:r>
    </w:p>
    <w:p w:rsidR="00DD0E7A" w:rsidRPr="00DD0E7A" w:rsidRDefault="00DD0E7A" w:rsidP="00DD0E7A">
      <w:pPr>
        <w:keepNext/>
        <w:spacing w:after="120"/>
        <w:jc w:val="both"/>
        <w:rPr>
          <w:rFonts w:ascii="Times New Roman" w:eastAsia="Calibri" w:hAnsi="Times New Roman"/>
          <w:noProof w:val="0"/>
          <w:sz w:val="22"/>
          <w:szCs w:val="22"/>
        </w:rPr>
      </w:pPr>
      <w:r w:rsidRPr="00DD0E7A">
        <w:rPr>
          <w:rFonts w:ascii="Times New Roman" w:eastAsia="Calibri" w:hAnsi="Times New Roman"/>
          <w:noProof w:val="0"/>
          <w:sz w:val="22"/>
          <w:szCs w:val="22"/>
        </w:rPr>
        <w:t>Ресурсный (в том числе ресурсно-индексный) метод</w:t>
      </w:r>
    </w:p>
    <w:p w:rsidR="00DB09F9" w:rsidRPr="00704FF4" w:rsidRDefault="00DD0E7A" w:rsidP="00DD0E7A">
      <w:pPr>
        <w:keepNext/>
        <w:spacing w:after="120"/>
        <w:jc w:val="both"/>
        <w:rPr>
          <w:rFonts w:ascii="Times New Roman" w:eastAsia="Calibri" w:hAnsi="Times New Roman"/>
          <w:noProof w:val="0"/>
          <w:sz w:val="22"/>
          <w:szCs w:val="22"/>
        </w:rPr>
      </w:pPr>
      <w:r w:rsidRPr="00DD0E7A">
        <w:rPr>
          <w:rFonts w:ascii="Times New Roman" w:eastAsia="Calibri" w:hAnsi="Times New Roman"/>
          <w:noProof w:val="0"/>
          <w:sz w:val="22"/>
          <w:szCs w:val="22"/>
        </w:rPr>
        <w:t>Обоснование расчета НМЦ: прилагаем</w:t>
      </w:r>
      <w:r>
        <w:rPr>
          <w:rFonts w:ascii="Times New Roman" w:eastAsia="Calibri" w:hAnsi="Times New Roman"/>
          <w:noProof w:val="0"/>
          <w:sz w:val="22"/>
          <w:szCs w:val="22"/>
        </w:rPr>
        <w:t>ая ресурсная смета</w:t>
      </w:r>
    </w:p>
    <w:tbl>
      <w:tblPr>
        <w:tblW w:w="10760" w:type="dxa"/>
        <w:shd w:val="clear" w:color="auto" w:fill="FFFFFF" w:themeFill="background1"/>
        <w:tblLook w:val="04A0" w:firstRow="1" w:lastRow="0" w:firstColumn="1" w:lastColumn="0" w:noHBand="0" w:noVBand="1"/>
      </w:tblPr>
      <w:tblGrid>
        <w:gridCol w:w="760"/>
        <w:gridCol w:w="3140"/>
        <w:gridCol w:w="760"/>
        <w:gridCol w:w="1800"/>
        <w:gridCol w:w="1900"/>
        <w:gridCol w:w="2400"/>
      </w:tblGrid>
      <w:tr w:rsidR="00E80DF0" w:rsidRPr="00E80DF0" w:rsidTr="00E80DF0">
        <w:trPr>
          <w:trHeight w:val="645"/>
        </w:trPr>
        <w:tc>
          <w:tcPr>
            <w:tcW w:w="10760" w:type="dxa"/>
            <w:gridSpan w:val="6"/>
            <w:tcBorders>
              <w:top w:val="single" w:sz="8" w:space="0" w:color="auto"/>
              <w:left w:val="single" w:sz="8" w:space="0" w:color="auto"/>
              <w:bottom w:val="nil"/>
              <w:right w:val="single" w:sz="8" w:space="0" w:color="000000"/>
            </w:tcBorders>
            <w:shd w:val="clear" w:color="auto" w:fill="FFFFFF" w:themeFill="background1"/>
            <w:vAlign w:val="center"/>
            <w:hideMark/>
          </w:tcPr>
          <w:p w:rsidR="00DD0E7A" w:rsidRPr="00E80DF0" w:rsidRDefault="00DD0E7A" w:rsidP="00DD0E7A">
            <w:pPr>
              <w:jc w:val="center"/>
              <w:rPr>
                <w:rFonts w:ascii="Calibri" w:eastAsia="Times New Roman" w:hAnsi="Calibri" w:cs="Calibri"/>
                <w:b/>
                <w:bCs/>
                <w:noProof w:val="0"/>
                <w:szCs w:val="24"/>
                <w:lang w:eastAsia="ru-RU"/>
              </w:rPr>
            </w:pPr>
            <w:r w:rsidRPr="00E80DF0">
              <w:rPr>
                <w:rFonts w:ascii="Calibri" w:eastAsia="Times New Roman" w:hAnsi="Calibri" w:cs="Calibri"/>
                <w:b/>
                <w:bCs/>
                <w:noProof w:val="0"/>
                <w:szCs w:val="24"/>
                <w:lang w:eastAsia="ru-RU"/>
              </w:rPr>
              <w:t xml:space="preserve">Ресурсная смета  </w:t>
            </w:r>
            <w:r w:rsidR="00E80DF0">
              <w:rPr>
                <w:rFonts w:ascii="Calibri" w:eastAsia="Times New Roman" w:hAnsi="Calibri" w:cs="Calibri"/>
                <w:b/>
                <w:bCs/>
                <w:noProof w:val="0"/>
                <w:szCs w:val="24"/>
                <w:lang w:eastAsia="ru-RU"/>
              </w:rPr>
              <w:t>(расчет)</w:t>
            </w:r>
          </w:p>
        </w:tc>
      </w:tr>
      <w:tr w:rsidR="00E80DF0" w:rsidRPr="00E80DF0" w:rsidTr="00E80DF0">
        <w:trPr>
          <w:trHeight w:val="2295"/>
        </w:trPr>
        <w:tc>
          <w:tcPr>
            <w:tcW w:w="760" w:type="dxa"/>
            <w:tcBorders>
              <w:top w:val="single" w:sz="4" w:space="0" w:color="auto"/>
              <w:left w:val="single" w:sz="8" w:space="0" w:color="auto"/>
              <w:bottom w:val="single" w:sz="4" w:space="0" w:color="auto"/>
              <w:right w:val="single" w:sz="4" w:space="0" w:color="auto"/>
            </w:tcBorders>
            <w:shd w:val="clear" w:color="auto" w:fill="FFFFFF" w:themeFill="background1"/>
            <w:vAlign w:val="center"/>
            <w:hideMark/>
          </w:tcPr>
          <w:p w:rsidR="00DD0E7A" w:rsidRPr="00E80DF0" w:rsidRDefault="00DD0E7A" w:rsidP="00DD0E7A">
            <w:pPr>
              <w:jc w:val="center"/>
              <w:rPr>
                <w:rFonts w:ascii="Calibri" w:eastAsia="Times New Roman" w:hAnsi="Calibri" w:cs="Calibri"/>
                <w:b/>
                <w:bCs/>
                <w:noProof w:val="0"/>
                <w:sz w:val="20"/>
                <w:lang w:eastAsia="ru-RU"/>
              </w:rPr>
            </w:pPr>
            <w:r w:rsidRPr="00E80DF0">
              <w:rPr>
                <w:rFonts w:ascii="Calibri" w:eastAsia="Times New Roman" w:hAnsi="Calibri" w:cs="Calibri"/>
                <w:b/>
                <w:bCs/>
                <w:noProof w:val="0"/>
                <w:sz w:val="20"/>
                <w:lang w:eastAsia="ru-RU"/>
              </w:rPr>
              <w:t>№ п/п</w:t>
            </w:r>
          </w:p>
        </w:tc>
        <w:tc>
          <w:tcPr>
            <w:tcW w:w="3140" w:type="dxa"/>
            <w:tcBorders>
              <w:top w:val="single" w:sz="4" w:space="0" w:color="auto"/>
              <w:left w:val="nil"/>
              <w:bottom w:val="single" w:sz="4" w:space="0" w:color="auto"/>
              <w:right w:val="single" w:sz="4" w:space="0" w:color="auto"/>
            </w:tcBorders>
            <w:shd w:val="clear" w:color="auto" w:fill="FFFFFF" w:themeFill="background1"/>
            <w:vAlign w:val="center"/>
            <w:hideMark/>
          </w:tcPr>
          <w:p w:rsidR="00DD0E7A" w:rsidRPr="00E80DF0" w:rsidRDefault="00DD0E7A" w:rsidP="00DD0E7A">
            <w:pPr>
              <w:jc w:val="center"/>
              <w:rPr>
                <w:rFonts w:ascii="Calibri" w:eastAsia="Times New Roman" w:hAnsi="Calibri" w:cs="Calibri"/>
                <w:b/>
                <w:bCs/>
                <w:noProof w:val="0"/>
                <w:sz w:val="20"/>
                <w:lang w:eastAsia="ru-RU"/>
              </w:rPr>
            </w:pPr>
            <w:r w:rsidRPr="00E80DF0">
              <w:rPr>
                <w:rFonts w:ascii="Calibri" w:eastAsia="Times New Roman" w:hAnsi="Calibri" w:cs="Calibri"/>
                <w:b/>
                <w:bCs/>
                <w:noProof w:val="0"/>
                <w:sz w:val="20"/>
                <w:lang w:eastAsia="ru-RU"/>
              </w:rPr>
              <w:t>Наименование продукции (товары / работы / услуги), являющейся предметом закупки</w:t>
            </w:r>
          </w:p>
        </w:tc>
        <w:tc>
          <w:tcPr>
            <w:tcW w:w="760" w:type="dxa"/>
            <w:tcBorders>
              <w:top w:val="single" w:sz="4" w:space="0" w:color="auto"/>
              <w:left w:val="nil"/>
              <w:bottom w:val="single" w:sz="4" w:space="0" w:color="auto"/>
              <w:right w:val="single" w:sz="4" w:space="0" w:color="auto"/>
            </w:tcBorders>
            <w:shd w:val="clear" w:color="auto" w:fill="FFFFFF" w:themeFill="background1"/>
            <w:vAlign w:val="center"/>
            <w:hideMark/>
          </w:tcPr>
          <w:p w:rsidR="00DD0E7A" w:rsidRPr="00E80DF0" w:rsidRDefault="00DD0E7A" w:rsidP="00DD0E7A">
            <w:pPr>
              <w:jc w:val="center"/>
              <w:rPr>
                <w:rFonts w:ascii="Calibri" w:eastAsia="Times New Roman" w:hAnsi="Calibri" w:cs="Calibri"/>
                <w:b/>
                <w:bCs/>
                <w:noProof w:val="0"/>
                <w:sz w:val="20"/>
                <w:lang w:eastAsia="ru-RU"/>
              </w:rPr>
            </w:pPr>
            <w:r w:rsidRPr="00E80DF0">
              <w:rPr>
                <w:rFonts w:ascii="Calibri" w:eastAsia="Times New Roman" w:hAnsi="Calibri" w:cs="Calibri"/>
                <w:b/>
                <w:bCs/>
                <w:noProof w:val="0"/>
                <w:sz w:val="20"/>
                <w:lang w:eastAsia="ru-RU"/>
              </w:rPr>
              <w:t xml:space="preserve">Ед. </w:t>
            </w:r>
            <w:r w:rsidRPr="00E80DF0">
              <w:rPr>
                <w:rFonts w:ascii="Calibri" w:eastAsia="Times New Roman" w:hAnsi="Calibri" w:cs="Calibri"/>
                <w:b/>
                <w:bCs/>
                <w:noProof w:val="0"/>
                <w:sz w:val="20"/>
                <w:lang w:eastAsia="ru-RU"/>
              </w:rPr>
              <w:br/>
              <w:t>изм.</w:t>
            </w:r>
          </w:p>
        </w:tc>
        <w:tc>
          <w:tcPr>
            <w:tcW w:w="1800" w:type="dxa"/>
            <w:tcBorders>
              <w:top w:val="single" w:sz="4" w:space="0" w:color="auto"/>
              <w:left w:val="nil"/>
              <w:bottom w:val="single" w:sz="4" w:space="0" w:color="auto"/>
              <w:right w:val="single" w:sz="4" w:space="0" w:color="auto"/>
            </w:tcBorders>
            <w:shd w:val="clear" w:color="auto" w:fill="FFFFFF" w:themeFill="background1"/>
            <w:vAlign w:val="center"/>
            <w:hideMark/>
          </w:tcPr>
          <w:p w:rsidR="00DD0E7A" w:rsidRPr="00E80DF0" w:rsidRDefault="00DD0E7A" w:rsidP="00DD0E7A">
            <w:pPr>
              <w:jc w:val="center"/>
              <w:rPr>
                <w:rFonts w:ascii="Calibri" w:eastAsia="Times New Roman" w:hAnsi="Calibri" w:cs="Calibri"/>
                <w:b/>
                <w:bCs/>
                <w:noProof w:val="0"/>
                <w:sz w:val="20"/>
                <w:lang w:eastAsia="ru-RU"/>
              </w:rPr>
            </w:pPr>
            <w:r w:rsidRPr="00E80DF0">
              <w:rPr>
                <w:rFonts w:ascii="Calibri" w:eastAsia="Times New Roman" w:hAnsi="Calibri" w:cs="Calibri"/>
                <w:b/>
                <w:bCs/>
                <w:noProof w:val="0"/>
                <w:sz w:val="20"/>
                <w:lang w:eastAsia="ru-RU"/>
              </w:rPr>
              <w:t>НМЦ единицы продукции</w:t>
            </w:r>
            <w:r w:rsidRPr="00E80DF0">
              <w:rPr>
                <w:rFonts w:ascii="Calibri" w:eastAsia="Times New Roman" w:hAnsi="Calibri" w:cs="Calibri"/>
                <w:b/>
                <w:bCs/>
                <w:noProof w:val="0"/>
                <w:sz w:val="20"/>
                <w:lang w:eastAsia="ru-RU"/>
              </w:rPr>
              <w:br/>
              <w:t>(руб. без НДС)</w:t>
            </w:r>
          </w:p>
        </w:tc>
        <w:tc>
          <w:tcPr>
            <w:tcW w:w="1900" w:type="dxa"/>
            <w:tcBorders>
              <w:top w:val="single" w:sz="4" w:space="0" w:color="auto"/>
              <w:left w:val="nil"/>
              <w:bottom w:val="single" w:sz="4" w:space="0" w:color="auto"/>
              <w:right w:val="single" w:sz="4" w:space="0" w:color="auto"/>
            </w:tcBorders>
            <w:shd w:val="clear" w:color="auto" w:fill="FFFFFF" w:themeFill="background1"/>
            <w:vAlign w:val="center"/>
            <w:hideMark/>
          </w:tcPr>
          <w:p w:rsidR="00DD0E7A" w:rsidRPr="00E80DF0" w:rsidRDefault="00DD0E7A" w:rsidP="00DD0E7A">
            <w:pPr>
              <w:jc w:val="center"/>
              <w:rPr>
                <w:rFonts w:ascii="Calibri" w:eastAsia="Times New Roman" w:hAnsi="Calibri" w:cs="Calibri"/>
                <w:b/>
                <w:bCs/>
                <w:noProof w:val="0"/>
                <w:sz w:val="20"/>
                <w:lang w:eastAsia="ru-RU"/>
              </w:rPr>
            </w:pPr>
            <w:r w:rsidRPr="00E80DF0">
              <w:rPr>
                <w:rFonts w:ascii="Calibri" w:eastAsia="Times New Roman" w:hAnsi="Calibri" w:cs="Calibri"/>
                <w:b/>
                <w:bCs/>
                <w:noProof w:val="0"/>
                <w:sz w:val="20"/>
                <w:lang w:eastAsia="ru-RU"/>
              </w:rPr>
              <w:t>Кол-во</w:t>
            </w:r>
          </w:p>
        </w:tc>
        <w:tc>
          <w:tcPr>
            <w:tcW w:w="2400" w:type="dxa"/>
            <w:tcBorders>
              <w:top w:val="single" w:sz="4" w:space="0" w:color="auto"/>
              <w:left w:val="nil"/>
              <w:bottom w:val="single" w:sz="4" w:space="0" w:color="auto"/>
              <w:right w:val="single" w:sz="8" w:space="0" w:color="auto"/>
            </w:tcBorders>
            <w:shd w:val="clear" w:color="auto" w:fill="FFFFFF" w:themeFill="background1"/>
            <w:vAlign w:val="center"/>
            <w:hideMark/>
          </w:tcPr>
          <w:p w:rsidR="00DD0E7A" w:rsidRPr="00E80DF0" w:rsidRDefault="00DD0E7A" w:rsidP="00DD0E7A">
            <w:pPr>
              <w:jc w:val="center"/>
              <w:rPr>
                <w:rFonts w:ascii="Calibri" w:eastAsia="Times New Roman" w:hAnsi="Calibri" w:cs="Calibri"/>
                <w:b/>
                <w:bCs/>
                <w:noProof w:val="0"/>
                <w:sz w:val="20"/>
                <w:lang w:eastAsia="ru-RU"/>
              </w:rPr>
            </w:pPr>
            <w:r w:rsidRPr="00E80DF0">
              <w:rPr>
                <w:rFonts w:ascii="Calibri" w:eastAsia="Times New Roman" w:hAnsi="Calibri" w:cs="Calibri"/>
                <w:b/>
                <w:bCs/>
                <w:noProof w:val="0"/>
                <w:sz w:val="20"/>
                <w:lang w:eastAsia="ru-RU"/>
              </w:rPr>
              <w:t>НМЦ по позиции продукции</w:t>
            </w:r>
            <w:r w:rsidRPr="00E80DF0">
              <w:rPr>
                <w:rFonts w:ascii="Calibri" w:eastAsia="Times New Roman" w:hAnsi="Calibri" w:cs="Calibri"/>
                <w:b/>
                <w:bCs/>
                <w:noProof w:val="0"/>
                <w:sz w:val="20"/>
                <w:lang w:eastAsia="ru-RU"/>
              </w:rPr>
              <w:br/>
              <w:t>(руб. без НДС)</w:t>
            </w:r>
          </w:p>
        </w:tc>
      </w:tr>
      <w:tr w:rsidR="00E80DF0" w:rsidRPr="00E80DF0" w:rsidTr="00E80DF0">
        <w:trPr>
          <w:trHeight w:val="1290"/>
        </w:trPr>
        <w:tc>
          <w:tcPr>
            <w:tcW w:w="760" w:type="dxa"/>
            <w:tcBorders>
              <w:top w:val="single" w:sz="4" w:space="0" w:color="002060"/>
              <w:left w:val="single" w:sz="8" w:space="0" w:color="002060"/>
              <w:bottom w:val="nil"/>
              <w:right w:val="single" w:sz="4" w:space="0" w:color="002060"/>
            </w:tcBorders>
            <w:shd w:val="clear" w:color="auto" w:fill="FFFFFF" w:themeFill="background1"/>
            <w:noWrap/>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1</w:t>
            </w:r>
          </w:p>
        </w:tc>
        <w:tc>
          <w:tcPr>
            <w:tcW w:w="3140" w:type="dxa"/>
            <w:tcBorders>
              <w:top w:val="single" w:sz="4" w:space="0" w:color="002060"/>
              <w:left w:val="nil"/>
              <w:bottom w:val="nil"/>
              <w:right w:val="single" w:sz="4" w:space="0" w:color="002060"/>
            </w:tcBorders>
            <w:shd w:val="clear" w:color="auto" w:fill="FFFFFF" w:themeFill="background1"/>
            <w:hideMark/>
          </w:tcPr>
          <w:p w:rsidR="00DD0E7A" w:rsidRPr="00E80DF0" w:rsidRDefault="00DD0E7A" w:rsidP="00DD0E7A">
            <w:pP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Затраты по заработной плате оценщика ( исходя из расчета 300 руб/час):</w:t>
            </w:r>
          </w:p>
        </w:tc>
        <w:tc>
          <w:tcPr>
            <w:tcW w:w="760" w:type="dxa"/>
            <w:tcBorders>
              <w:top w:val="single" w:sz="4" w:space="0" w:color="002060"/>
              <w:left w:val="nil"/>
              <w:bottom w:val="nil"/>
              <w:right w:val="single" w:sz="4" w:space="0" w:color="002060"/>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час.</w:t>
            </w:r>
          </w:p>
        </w:tc>
        <w:tc>
          <w:tcPr>
            <w:tcW w:w="1800" w:type="dxa"/>
            <w:tcBorders>
              <w:top w:val="single" w:sz="4" w:space="0" w:color="002060"/>
              <w:left w:val="nil"/>
              <w:bottom w:val="nil"/>
              <w:right w:val="single" w:sz="4" w:space="0" w:color="002060"/>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13 200,00</w:t>
            </w:r>
          </w:p>
        </w:tc>
        <w:tc>
          <w:tcPr>
            <w:tcW w:w="1900" w:type="dxa"/>
            <w:tcBorders>
              <w:top w:val="single" w:sz="4" w:space="0" w:color="002060"/>
              <w:left w:val="nil"/>
              <w:bottom w:val="nil"/>
              <w:right w:val="single" w:sz="4" w:space="0" w:color="002060"/>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1</w:t>
            </w:r>
          </w:p>
        </w:tc>
        <w:tc>
          <w:tcPr>
            <w:tcW w:w="2400" w:type="dxa"/>
            <w:tcBorders>
              <w:top w:val="single" w:sz="4" w:space="0" w:color="002060"/>
              <w:left w:val="nil"/>
              <w:bottom w:val="nil"/>
              <w:right w:val="single" w:sz="4" w:space="0" w:color="002060"/>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13 200,00</w:t>
            </w:r>
          </w:p>
        </w:tc>
      </w:tr>
      <w:tr w:rsidR="00E80DF0" w:rsidRPr="00E80DF0" w:rsidTr="00E80DF0">
        <w:trPr>
          <w:trHeight w:val="510"/>
        </w:trPr>
        <w:tc>
          <w:tcPr>
            <w:tcW w:w="76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1.1.</w:t>
            </w:r>
          </w:p>
        </w:tc>
        <w:tc>
          <w:tcPr>
            <w:tcW w:w="3140" w:type="dxa"/>
            <w:tcBorders>
              <w:top w:val="single" w:sz="4" w:space="0" w:color="auto"/>
              <w:left w:val="nil"/>
              <w:bottom w:val="single" w:sz="4" w:space="0" w:color="auto"/>
              <w:right w:val="single" w:sz="4" w:space="0" w:color="auto"/>
            </w:tcBorders>
            <w:shd w:val="clear" w:color="auto" w:fill="FFFFFF" w:themeFill="background1"/>
            <w:hideMark/>
          </w:tcPr>
          <w:p w:rsidR="00DD0E7A" w:rsidRPr="00E80DF0" w:rsidRDefault="00DD0E7A" w:rsidP="00DD0E7A">
            <w:pP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сбор и обработка информации (16 нормо-часов)</w:t>
            </w:r>
          </w:p>
        </w:tc>
        <w:tc>
          <w:tcPr>
            <w:tcW w:w="760" w:type="dxa"/>
            <w:tcBorders>
              <w:top w:val="single" w:sz="4" w:space="0" w:color="auto"/>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 </w:t>
            </w:r>
          </w:p>
        </w:tc>
        <w:tc>
          <w:tcPr>
            <w:tcW w:w="1800" w:type="dxa"/>
            <w:tcBorders>
              <w:top w:val="single" w:sz="4" w:space="0" w:color="auto"/>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4 800,00</w:t>
            </w:r>
          </w:p>
        </w:tc>
        <w:tc>
          <w:tcPr>
            <w:tcW w:w="1900" w:type="dxa"/>
            <w:tcBorders>
              <w:top w:val="single" w:sz="4" w:space="0" w:color="auto"/>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1</w:t>
            </w:r>
          </w:p>
        </w:tc>
        <w:tc>
          <w:tcPr>
            <w:tcW w:w="2400" w:type="dxa"/>
            <w:tcBorders>
              <w:top w:val="single" w:sz="4" w:space="0" w:color="auto"/>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 </w:t>
            </w:r>
          </w:p>
        </w:tc>
      </w:tr>
      <w:tr w:rsidR="00E80DF0" w:rsidRPr="00E80DF0" w:rsidTr="00E80DF0">
        <w:trPr>
          <w:trHeight w:val="510"/>
        </w:trPr>
        <w:tc>
          <w:tcPr>
            <w:tcW w:w="760" w:type="dxa"/>
            <w:tcBorders>
              <w:top w:val="nil"/>
              <w:left w:val="single" w:sz="4" w:space="0" w:color="auto"/>
              <w:bottom w:val="single" w:sz="4" w:space="0" w:color="auto"/>
              <w:right w:val="single" w:sz="4" w:space="0" w:color="auto"/>
            </w:tcBorders>
            <w:shd w:val="clear" w:color="auto" w:fill="FFFFFF" w:themeFill="background1"/>
            <w:noWrap/>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1.2.</w:t>
            </w:r>
          </w:p>
        </w:tc>
        <w:tc>
          <w:tcPr>
            <w:tcW w:w="314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расчет рыночной стоимости (20 нормо-часов)</w:t>
            </w:r>
          </w:p>
        </w:tc>
        <w:tc>
          <w:tcPr>
            <w:tcW w:w="76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 </w:t>
            </w:r>
          </w:p>
        </w:tc>
        <w:tc>
          <w:tcPr>
            <w:tcW w:w="180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6 000,00</w:t>
            </w:r>
          </w:p>
        </w:tc>
        <w:tc>
          <w:tcPr>
            <w:tcW w:w="190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1</w:t>
            </w:r>
          </w:p>
        </w:tc>
        <w:tc>
          <w:tcPr>
            <w:tcW w:w="240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 </w:t>
            </w:r>
          </w:p>
        </w:tc>
      </w:tr>
      <w:tr w:rsidR="00E80DF0" w:rsidRPr="00E80DF0" w:rsidTr="00E80DF0">
        <w:trPr>
          <w:trHeight w:val="510"/>
        </w:trPr>
        <w:tc>
          <w:tcPr>
            <w:tcW w:w="760" w:type="dxa"/>
            <w:tcBorders>
              <w:top w:val="nil"/>
              <w:left w:val="single" w:sz="4" w:space="0" w:color="auto"/>
              <w:bottom w:val="single" w:sz="4" w:space="0" w:color="auto"/>
              <w:right w:val="single" w:sz="4" w:space="0" w:color="auto"/>
            </w:tcBorders>
            <w:shd w:val="clear" w:color="auto" w:fill="FFFFFF" w:themeFill="background1"/>
            <w:noWrap/>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1.3.</w:t>
            </w:r>
          </w:p>
        </w:tc>
        <w:tc>
          <w:tcPr>
            <w:tcW w:w="314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подготовка отчета об оценке (8 нормо-часов)</w:t>
            </w:r>
          </w:p>
        </w:tc>
        <w:tc>
          <w:tcPr>
            <w:tcW w:w="76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 </w:t>
            </w:r>
          </w:p>
        </w:tc>
        <w:tc>
          <w:tcPr>
            <w:tcW w:w="180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2 400,00</w:t>
            </w:r>
          </w:p>
        </w:tc>
        <w:tc>
          <w:tcPr>
            <w:tcW w:w="190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1</w:t>
            </w:r>
          </w:p>
        </w:tc>
        <w:tc>
          <w:tcPr>
            <w:tcW w:w="240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 </w:t>
            </w:r>
          </w:p>
        </w:tc>
      </w:tr>
      <w:tr w:rsidR="00E80DF0" w:rsidRPr="00E80DF0" w:rsidTr="00E80DF0">
        <w:trPr>
          <w:trHeight w:val="300"/>
        </w:trPr>
        <w:tc>
          <w:tcPr>
            <w:tcW w:w="760" w:type="dxa"/>
            <w:tcBorders>
              <w:top w:val="nil"/>
              <w:left w:val="single" w:sz="4" w:space="0" w:color="auto"/>
              <w:bottom w:val="single" w:sz="4" w:space="0" w:color="auto"/>
              <w:right w:val="single" w:sz="4" w:space="0" w:color="auto"/>
            </w:tcBorders>
            <w:shd w:val="clear" w:color="auto" w:fill="FFFFFF" w:themeFill="background1"/>
            <w:noWrap/>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2</w:t>
            </w:r>
          </w:p>
        </w:tc>
        <w:tc>
          <w:tcPr>
            <w:tcW w:w="314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Страховые взносы (30,2%)</w:t>
            </w:r>
          </w:p>
        </w:tc>
        <w:tc>
          <w:tcPr>
            <w:tcW w:w="76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 </w:t>
            </w:r>
          </w:p>
        </w:tc>
        <w:tc>
          <w:tcPr>
            <w:tcW w:w="180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3 986,40</w:t>
            </w:r>
          </w:p>
        </w:tc>
        <w:tc>
          <w:tcPr>
            <w:tcW w:w="190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1</w:t>
            </w:r>
          </w:p>
        </w:tc>
        <w:tc>
          <w:tcPr>
            <w:tcW w:w="240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3 986,40</w:t>
            </w:r>
          </w:p>
        </w:tc>
      </w:tr>
      <w:tr w:rsidR="00E80DF0" w:rsidRPr="00E80DF0" w:rsidTr="00E80DF0">
        <w:trPr>
          <w:trHeight w:val="300"/>
        </w:trPr>
        <w:tc>
          <w:tcPr>
            <w:tcW w:w="760" w:type="dxa"/>
            <w:tcBorders>
              <w:top w:val="nil"/>
              <w:left w:val="single" w:sz="4" w:space="0" w:color="auto"/>
              <w:bottom w:val="single" w:sz="4" w:space="0" w:color="auto"/>
              <w:right w:val="single" w:sz="4" w:space="0" w:color="auto"/>
            </w:tcBorders>
            <w:shd w:val="clear" w:color="auto" w:fill="FFFFFF" w:themeFill="background1"/>
            <w:noWrap/>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3</w:t>
            </w:r>
          </w:p>
        </w:tc>
        <w:tc>
          <w:tcPr>
            <w:tcW w:w="314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Прочие расходы</w:t>
            </w:r>
          </w:p>
        </w:tc>
        <w:tc>
          <w:tcPr>
            <w:tcW w:w="76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 </w:t>
            </w:r>
          </w:p>
        </w:tc>
        <w:tc>
          <w:tcPr>
            <w:tcW w:w="180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10 086,32</w:t>
            </w:r>
          </w:p>
        </w:tc>
        <w:tc>
          <w:tcPr>
            <w:tcW w:w="190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1</w:t>
            </w:r>
          </w:p>
        </w:tc>
        <w:tc>
          <w:tcPr>
            <w:tcW w:w="240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10 086,32</w:t>
            </w:r>
          </w:p>
        </w:tc>
      </w:tr>
      <w:tr w:rsidR="00E80DF0" w:rsidRPr="00E80DF0" w:rsidTr="00E80DF0">
        <w:trPr>
          <w:trHeight w:val="300"/>
        </w:trPr>
        <w:tc>
          <w:tcPr>
            <w:tcW w:w="760" w:type="dxa"/>
            <w:tcBorders>
              <w:top w:val="nil"/>
              <w:left w:val="single" w:sz="4" w:space="0" w:color="auto"/>
              <w:bottom w:val="single" w:sz="4" w:space="0" w:color="auto"/>
              <w:right w:val="single" w:sz="4" w:space="0" w:color="auto"/>
            </w:tcBorders>
            <w:shd w:val="clear" w:color="auto" w:fill="FFFFFF" w:themeFill="background1"/>
            <w:noWrap/>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4</w:t>
            </w:r>
          </w:p>
        </w:tc>
        <w:tc>
          <w:tcPr>
            <w:tcW w:w="314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 xml:space="preserve">Рентабильность </w:t>
            </w:r>
          </w:p>
        </w:tc>
        <w:tc>
          <w:tcPr>
            <w:tcW w:w="76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 </w:t>
            </w:r>
          </w:p>
        </w:tc>
        <w:tc>
          <w:tcPr>
            <w:tcW w:w="180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2 727,28</w:t>
            </w:r>
          </w:p>
        </w:tc>
        <w:tc>
          <w:tcPr>
            <w:tcW w:w="190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1</w:t>
            </w:r>
          </w:p>
        </w:tc>
        <w:tc>
          <w:tcPr>
            <w:tcW w:w="240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2 727,28</w:t>
            </w:r>
          </w:p>
        </w:tc>
      </w:tr>
      <w:tr w:rsidR="00E80DF0" w:rsidRPr="00E80DF0" w:rsidTr="00E80DF0">
        <w:trPr>
          <w:trHeight w:val="300"/>
        </w:trPr>
        <w:tc>
          <w:tcPr>
            <w:tcW w:w="760" w:type="dxa"/>
            <w:tcBorders>
              <w:top w:val="nil"/>
              <w:left w:val="single" w:sz="4" w:space="0" w:color="auto"/>
              <w:bottom w:val="single" w:sz="4" w:space="0" w:color="auto"/>
              <w:right w:val="single" w:sz="4" w:space="0" w:color="auto"/>
            </w:tcBorders>
            <w:shd w:val="clear" w:color="auto" w:fill="FFFFFF" w:themeFill="background1"/>
            <w:noWrap/>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 </w:t>
            </w:r>
          </w:p>
        </w:tc>
        <w:tc>
          <w:tcPr>
            <w:tcW w:w="314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 </w:t>
            </w:r>
          </w:p>
        </w:tc>
        <w:tc>
          <w:tcPr>
            <w:tcW w:w="76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 </w:t>
            </w:r>
          </w:p>
        </w:tc>
        <w:tc>
          <w:tcPr>
            <w:tcW w:w="180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 </w:t>
            </w:r>
          </w:p>
        </w:tc>
        <w:tc>
          <w:tcPr>
            <w:tcW w:w="190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 </w:t>
            </w:r>
          </w:p>
        </w:tc>
        <w:tc>
          <w:tcPr>
            <w:tcW w:w="240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 </w:t>
            </w:r>
          </w:p>
        </w:tc>
      </w:tr>
      <w:tr w:rsidR="00E80DF0" w:rsidRPr="00E80DF0" w:rsidTr="00E80DF0">
        <w:trPr>
          <w:trHeight w:val="300"/>
        </w:trPr>
        <w:tc>
          <w:tcPr>
            <w:tcW w:w="760" w:type="dxa"/>
            <w:tcBorders>
              <w:top w:val="nil"/>
              <w:left w:val="single" w:sz="4" w:space="0" w:color="auto"/>
              <w:bottom w:val="single" w:sz="4" w:space="0" w:color="auto"/>
              <w:right w:val="single" w:sz="4" w:space="0" w:color="auto"/>
            </w:tcBorders>
            <w:shd w:val="clear" w:color="auto" w:fill="FFFFFF" w:themeFill="background1"/>
            <w:noWrap/>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 </w:t>
            </w:r>
          </w:p>
        </w:tc>
        <w:tc>
          <w:tcPr>
            <w:tcW w:w="314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 </w:t>
            </w:r>
          </w:p>
        </w:tc>
        <w:tc>
          <w:tcPr>
            <w:tcW w:w="76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 </w:t>
            </w:r>
          </w:p>
        </w:tc>
        <w:tc>
          <w:tcPr>
            <w:tcW w:w="180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 </w:t>
            </w:r>
          </w:p>
        </w:tc>
        <w:tc>
          <w:tcPr>
            <w:tcW w:w="190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 </w:t>
            </w:r>
          </w:p>
        </w:tc>
        <w:tc>
          <w:tcPr>
            <w:tcW w:w="2400" w:type="dxa"/>
            <w:tcBorders>
              <w:top w:val="nil"/>
              <w:left w:val="nil"/>
              <w:bottom w:val="single" w:sz="4" w:space="0" w:color="auto"/>
              <w:right w:val="single" w:sz="4"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 </w:t>
            </w:r>
          </w:p>
        </w:tc>
      </w:tr>
      <w:tr w:rsidR="00E80DF0" w:rsidRPr="00E80DF0" w:rsidTr="00E80DF0">
        <w:trPr>
          <w:trHeight w:val="420"/>
        </w:trPr>
        <w:tc>
          <w:tcPr>
            <w:tcW w:w="8360" w:type="dxa"/>
            <w:gridSpan w:val="5"/>
            <w:tcBorders>
              <w:top w:val="nil"/>
              <w:left w:val="single" w:sz="8" w:space="0" w:color="auto"/>
              <w:bottom w:val="single" w:sz="8" w:space="0" w:color="002060"/>
              <w:right w:val="single" w:sz="4" w:space="0" w:color="002060"/>
            </w:tcBorders>
            <w:shd w:val="clear" w:color="auto" w:fill="FFFFFF" w:themeFill="background1"/>
            <w:vAlign w:val="center"/>
            <w:hideMark/>
          </w:tcPr>
          <w:p w:rsidR="00DD0E7A" w:rsidRPr="00E80DF0" w:rsidRDefault="00DD0E7A" w:rsidP="00DD0E7A">
            <w:pPr>
              <w:jc w:val="right"/>
              <w:rPr>
                <w:rFonts w:ascii="Calibri" w:eastAsia="Times New Roman" w:hAnsi="Calibri" w:cs="Calibri"/>
                <w:b/>
                <w:bCs/>
                <w:noProof w:val="0"/>
                <w:sz w:val="20"/>
                <w:lang w:eastAsia="ru-RU"/>
              </w:rPr>
            </w:pPr>
            <w:r w:rsidRPr="00E80DF0">
              <w:rPr>
                <w:rFonts w:ascii="Calibri" w:eastAsia="Times New Roman" w:hAnsi="Calibri" w:cs="Calibri"/>
                <w:b/>
                <w:bCs/>
                <w:noProof w:val="0"/>
                <w:sz w:val="20"/>
                <w:lang w:eastAsia="ru-RU"/>
              </w:rPr>
              <w:t>ИТОГО без НДС, руб.</w:t>
            </w:r>
          </w:p>
        </w:tc>
        <w:tc>
          <w:tcPr>
            <w:tcW w:w="2400" w:type="dxa"/>
            <w:tcBorders>
              <w:top w:val="nil"/>
              <w:left w:val="nil"/>
              <w:bottom w:val="single" w:sz="8" w:space="0" w:color="002060"/>
              <w:right w:val="single" w:sz="8" w:space="0" w:color="auto"/>
            </w:tcBorders>
            <w:shd w:val="clear" w:color="auto" w:fill="FFFFFF" w:themeFill="background1"/>
            <w:vAlign w:val="center"/>
            <w:hideMark/>
          </w:tcPr>
          <w:p w:rsidR="00DD0E7A" w:rsidRPr="00E80DF0" w:rsidRDefault="00DD0E7A" w:rsidP="00DD0E7A">
            <w:pPr>
              <w:jc w:val="center"/>
              <w:rPr>
                <w:rFonts w:ascii="Calibri" w:eastAsia="Times New Roman" w:hAnsi="Calibri" w:cs="Calibri"/>
                <w:b/>
                <w:bCs/>
                <w:noProof w:val="0"/>
                <w:sz w:val="20"/>
                <w:lang w:eastAsia="ru-RU"/>
              </w:rPr>
            </w:pPr>
            <w:r w:rsidRPr="00E80DF0">
              <w:rPr>
                <w:rFonts w:ascii="Calibri" w:eastAsia="Times New Roman" w:hAnsi="Calibri" w:cs="Calibri"/>
                <w:b/>
                <w:bCs/>
                <w:noProof w:val="0"/>
                <w:sz w:val="20"/>
                <w:lang w:eastAsia="ru-RU"/>
              </w:rPr>
              <w:t>30 000,00</w:t>
            </w:r>
          </w:p>
        </w:tc>
      </w:tr>
      <w:tr w:rsidR="00E80DF0" w:rsidRPr="00E80DF0" w:rsidTr="00E80DF0">
        <w:trPr>
          <w:trHeight w:val="420"/>
        </w:trPr>
        <w:tc>
          <w:tcPr>
            <w:tcW w:w="6460" w:type="dxa"/>
            <w:gridSpan w:val="4"/>
            <w:tcBorders>
              <w:top w:val="single" w:sz="8" w:space="0" w:color="002060"/>
              <w:left w:val="single" w:sz="8" w:space="0" w:color="auto"/>
              <w:bottom w:val="single" w:sz="4" w:space="0" w:color="002060"/>
              <w:right w:val="nil"/>
            </w:tcBorders>
            <w:shd w:val="clear" w:color="auto" w:fill="FFFFFF" w:themeFill="background1"/>
            <w:hideMark/>
          </w:tcPr>
          <w:p w:rsidR="00DD0E7A" w:rsidRPr="00E80DF0" w:rsidRDefault="00DD0E7A" w:rsidP="00DD0E7A">
            <w:pPr>
              <w:jc w:val="right"/>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Кроме того, НДС, руб.</w:t>
            </w:r>
          </w:p>
        </w:tc>
        <w:tc>
          <w:tcPr>
            <w:tcW w:w="1900" w:type="dxa"/>
            <w:tcBorders>
              <w:top w:val="nil"/>
              <w:left w:val="single" w:sz="4" w:space="0" w:color="auto"/>
              <w:bottom w:val="single" w:sz="4" w:space="0" w:color="002060"/>
              <w:right w:val="single" w:sz="4" w:space="0" w:color="002060"/>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20%</w:t>
            </w:r>
          </w:p>
        </w:tc>
        <w:tc>
          <w:tcPr>
            <w:tcW w:w="2400" w:type="dxa"/>
            <w:tcBorders>
              <w:top w:val="nil"/>
              <w:left w:val="nil"/>
              <w:bottom w:val="single" w:sz="4" w:space="0" w:color="002060"/>
              <w:right w:val="single" w:sz="8"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6 000,00</w:t>
            </w:r>
          </w:p>
        </w:tc>
      </w:tr>
      <w:tr w:rsidR="00E80DF0" w:rsidRPr="00E80DF0" w:rsidTr="00E80DF0">
        <w:trPr>
          <w:trHeight w:val="435"/>
        </w:trPr>
        <w:tc>
          <w:tcPr>
            <w:tcW w:w="8360" w:type="dxa"/>
            <w:gridSpan w:val="5"/>
            <w:tcBorders>
              <w:top w:val="single" w:sz="4" w:space="0" w:color="002060"/>
              <w:left w:val="single" w:sz="8" w:space="0" w:color="auto"/>
              <w:bottom w:val="single" w:sz="8" w:space="0" w:color="auto"/>
              <w:right w:val="single" w:sz="4" w:space="0" w:color="002060"/>
            </w:tcBorders>
            <w:shd w:val="clear" w:color="auto" w:fill="FFFFFF" w:themeFill="background1"/>
            <w:hideMark/>
          </w:tcPr>
          <w:p w:rsidR="00DD0E7A" w:rsidRPr="00E80DF0" w:rsidRDefault="00DD0E7A" w:rsidP="00DD0E7A">
            <w:pPr>
              <w:jc w:val="right"/>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ИТОГО с НДС, руб.</w:t>
            </w:r>
          </w:p>
        </w:tc>
        <w:tc>
          <w:tcPr>
            <w:tcW w:w="2400" w:type="dxa"/>
            <w:tcBorders>
              <w:top w:val="nil"/>
              <w:left w:val="nil"/>
              <w:bottom w:val="single" w:sz="8" w:space="0" w:color="auto"/>
              <w:right w:val="single" w:sz="8" w:space="0" w:color="auto"/>
            </w:tcBorders>
            <w:shd w:val="clear" w:color="auto" w:fill="FFFFFF" w:themeFill="background1"/>
            <w:hideMark/>
          </w:tcPr>
          <w:p w:rsidR="00DD0E7A" w:rsidRPr="00E80DF0" w:rsidRDefault="00DD0E7A" w:rsidP="00DD0E7A">
            <w:pPr>
              <w:jc w:val="center"/>
              <w:rPr>
                <w:rFonts w:ascii="Calibri" w:eastAsia="Times New Roman" w:hAnsi="Calibri" w:cs="Calibri"/>
                <w:noProof w:val="0"/>
                <w:sz w:val="20"/>
                <w:lang w:eastAsia="ru-RU"/>
              </w:rPr>
            </w:pPr>
            <w:r w:rsidRPr="00E80DF0">
              <w:rPr>
                <w:rFonts w:ascii="Calibri" w:eastAsia="Times New Roman" w:hAnsi="Calibri" w:cs="Calibri"/>
                <w:noProof w:val="0"/>
                <w:sz w:val="20"/>
                <w:lang w:eastAsia="ru-RU"/>
              </w:rPr>
              <w:t>36 000,00</w:t>
            </w:r>
          </w:p>
        </w:tc>
      </w:tr>
    </w:tbl>
    <w:p w:rsidR="00DB09F9" w:rsidRPr="00704FF4" w:rsidRDefault="00DB09F9" w:rsidP="00DB09F9">
      <w:pPr>
        <w:contextualSpacing/>
        <w:jc w:val="both"/>
        <w:rPr>
          <w:rFonts w:ascii="Times New Roman" w:eastAsia="Calibri" w:hAnsi="Times New Roman"/>
          <w:noProof w:val="0"/>
          <w:sz w:val="22"/>
          <w:szCs w:val="22"/>
        </w:rPr>
      </w:pPr>
    </w:p>
    <w:p w:rsidR="00646128" w:rsidRPr="00704FF4" w:rsidRDefault="00646128">
      <w:pPr>
        <w:rPr>
          <w:sz w:val="22"/>
          <w:szCs w:val="22"/>
        </w:rPr>
      </w:pPr>
    </w:p>
    <w:sectPr w:rsidR="00646128" w:rsidRPr="00704FF4" w:rsidSect="00092C43">
      <w:pgSz w:w="16838" w:h="11906" w:orient="landscape"/>
      <w:pgMar w:top="426"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0BE6" w:rsidRDefault="00F50BE6" w:rsidP="00DB09F9">
      <w:r>
        <w:separator/>
      </w:r>
    </w:p>
  </w:endnote>
  <w:endnote w:type="continuationSeparator" w:id="0">
    <w:p w:rsidR="00F50BE6" w:rsidRDefault="00F50BE6" w:rsidP="00DB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0BE6" w:rsidRDefault="00F50BE6" w:rsidP="00DB09F9">
      <w:r>
        <w:separator/>
      </w:r>
    </w:p>
  </w:footnote>
  <w:footnote w:type="continuationSeparator" w:id="0">
    <w:p w:rsidR="00F50BE6" w:rsidRDefault="00F50BE6" w:rsidP="00DB09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F80"/>
    <w:rsid w:val="00075630"/>
    <w:rsid w:val="00092C43"/>
    <w:rsid w:val="000C65AD"/>
    <w:rsid w:val="00160353"/>
    <w:rsid w:val="001D14B7"/>
    <w:rsid w:val="001F43D2"/>
    <w:rsid w:val="001F7D68"/>
    <w:rsid w:val="002327CE"/>
    <w:rsid w:val="00243F15"/>
    <w:rsid w:val="00251AE8"/>
    <w:rsid w:val="00263506"/>
    <w:rsid w:val="0026413D"/>
    <w:rsid w:val="00264A66"/>
    <w:rsid w:val="00293F53"/>
    <w:rsid w:val="003B2F3B"/>
    <w:rsid w:val="004559F2"/>
    <w:rsid w:val="004A377A"/>
    <w:rsid w:val="004B6133"/>
    <w:rsid w:val="004D2830"/>
    <w:rsid w:val="004E4FDD"/>
    <w:rsid w:val="00553014"/>
    <w:rsid w:val="00597FBC"/>
    <w:rsid w:val="00646128"/>
    <w:rsid w:val="00704FF4"/>
    <w:rsid w:val="00737746"/>
    <w:rsid w:val="00766419"/>
    <w:rsid w:val="007B500F"/>
    <w:rsid w:val="007F271E"/>
    <w:rsid w:val="00823A50"/>
    <w:rsid w:val="00953F3E"/>
    <w:rsid w:val="00954434"/>
    <w:rsid w:val="009A0E9E"/>
    <w:rsid w:val="00A03FD2"/>
    <w:rsid w:val="00A60775"/>
    <w:rsid w:val="00A72B86"/>
    <w:rsid w:val="00A8595B"/>
    <w:rsid w:val="00AD3AB2"/>
    <w:rsid w:val="00B11591"/>
    <w:rsid w:val="00B66B6D"/>
    <w:rsid w:val="00BA7CCE"/>
    <w:rsid w:val="00C0743D"/>
    <w:rsid w:val="00D54F80"/>
    <w:rsid w:val="00D717A9"/>
    <w:rsid w:val="00DB09F9"/>
    <w:rsid w:val="00DD0E7A"/>
    <w:rsid w:val="00E80DF0"/>
    <w:rsid w:val="00F12561"/>
    <w:rsid w:val="00F50BE6"/>
    <w:rsid w:val="00F65753"/>
    <w:rsid w:val="00F65958"/>
    <w:rsid w:val="00FC7920"/>
    <w:rsid w:val="00FF17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CF5C"/>
  <w15:chartTrackingRefBased/>
  <w15:docId w15:val="{FC10478C-E6FB-4E66-B503-AFD5E460B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09F9"/>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4"/>
    <w:uiPriority w:val="99"/>
    <w:unhideWhenUsed/>
    <w:qFormat/>
    <w:rsid w:val="00DB09F9"/>
    <w:rPr>
      <w:sz w:val="20"/>
    </w:rPr>
  </w:style>
  <w:style w:type="character" w:customStyle="1" w:styleId="a4">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3"/>
    <w:uiPriority w:val="99"/>
    <w:rsid w:val="00DB09F9"/>
    <w:rPr>
      <w:rFonts w:ascii="Geneva CY" w:eastAsia="Geneva" w:hAnsi="Geneva CY" w:cs="Times New Roman"/>
      <w:noProof/>
      <w:sz w:val="20"/>
      <w:szCs w:val="20"/>
    </w:rPr>
  </w:style>
  <w:style w:type="character" w:styleId="a5">
    <w:name w:val="footnote reference"/>
    <w:aliases w:val="Знак сноски-FN,Ciae niinee-FN,Знак сноски 1,fr,Used by Word for Help footnote symbols,Ссылка на сноску 45,Footnote Reference Number"/>
    <w:basedOn w:val="a0"/>
    <w:uiPriority w:val="99"/>
    <w:unhideWhenUsed/>
    <w:rsid w:val="00DB09F9"/>
    <w:rPr>
      <w:vertAlign w:val="superscript"/>
    </w:rPr>
  </w:style>
  <w:style w:type="table" w:customStyle="1" w:styleId="1">
    <w:name w:val="Сетка таблицы1"/>
    <w:basedOn w:val="a1"/>
    <w:next w:val="a6"/>
    <w:uiPriority w:val="59"/>
    <w:rsid w:val="00DB09F9"/>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DB0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290832">
      <w:bodyDiv w:val="1"/>
      <w:marLeft w:val="0"/>
      <w:marRight w:val="0"/>
      <w:marTop w:val="0"/>
      <w:marBottom w:val="0"/>
      <w:divBdr>
        <w:top w:val="none" w:sz="0" w:space="0" w:color="auto"/>
        <w:left w:val="none" w:sz="0" w:space="0" w:color="auto"/>
        <w:bottom w:val="none" w:sz="0" w:space="0" w:color="auto"/>
        <w:right w:val="none" w:sz="0" w:space="0" w:color="auto"/>
      </w:divBdr>
    </w:div>
    <w:div w:id="354232052">
      <w:bodyDiv w:val="1"/>
      <w:marLeft w:val="0"/>
      <w:marRight w:val="0"/>
      <w:marTop w:val="0"/>
      <w:marBottom w:val="0"/>
      <w:divBdr>
        <w:top w:val="none" w:sz="0" w:space="0" w:color="auto"/>
        <w:left w:val="none" w:sz="0" w:space="0" w:color="auto"/>
        <w:bottom w:val="none" w:sz="0" w:space="0" w:color="auto"/>
        <w:right w:val="none" w:sz="0" w:space="0" w:color="auto"/>
      </w:divBdr>
    </w:div>
    <w:div w:id="382410250">
      <w:bodyDiv w:val="1"/>
      <w:marLeft w:val="0"/>
      <w:marRight w:val="0"/>
      <w:marTop w:val="0"/>
      <w:marBottom w:val="0"/>
      <w:divBdr>
        <w:top w:val="none" w:sz="0" w:space="0" w:color="auto"/>
        <w:left w:val="none" w:sz="0" w:space="0" w:color="auto"/>
        <w:bottom w:val="none" w:sz="0" w:space="0" w:color="auto"/>
        <w:right w:val="none" w:sz="0" w:space="0" w:color="auto"/>
      </w:divBdr>
    </w:div>
    <w:div w:id="411902426">
      <w:bodyDiv w:val="1"/>
      <w:marLeft w:val="0"/>
      <w:marRight w:val="0"/>
      <w:marTop w:val="0"/>
      <w:marBottom w:val="0"/>
      <w:divBdr>
        <w:top w:val="none" w:sz="0" w:space="0" w:color="auto"/>
        <w:left w:val="none" w:sz="0" w:space="0" w:color="auto"/>
        <w:bottom w:val="none" w:sz="0" w:space="0" w:color="auto"/>
        <w:right w:val="none" w:sz="0" w:space="0" w:color="auto"/>
      </w:divBdr>
    </w:div>
    <w:div w:id="453403972">
      <w:bodyDiv w:val="1"/>
      <w:marLeft w:val="0"/>
      <w:marRight w:val="0"/>
      <w:marTop w:val="0"/>
      <w:marBottom w:val="0"/>
      <w:divBdr>
        <w:top w:val="none" w:sz="0" w:space="0" w:color="auto"/>
        <w:left w:val="none" w:sz="0" w:space="0" w:color="auto"/>
        <w:bottom w:val="none" w:sz="0" w:space="0" w:color="auto"/>
        <w:right w:val="none" w:sz="0" w:space="0" w:color="auto"/>
      </w:divBdr>
    </w:div>
    <w:div w:id="479544150">
      <w:bodyDiv w:val="1"/>
      <w:marLeft w:val="0"/>
      <w:marRight w:val="0"/>
      <w:marTop w:val="0"/>
      <w:marBottom w:val="0"/>
      <w:divBdr>
        <w:top w:val="none" w:sz="0" w:space="0" w:color="auto"/>
        <w:left w:val="none" w:sz="0" w:space="0" w:color="auto"/>
        <w:bottom w:val="none" w:sz="0" w:space="0" w:color="auto"/>
        <w:right w:val="none" w:sz="0" w:space="0" w:color="auto"/>
      </w:divBdr>
    </w:div>
    <w:div w:id="488444472">
      <w:bodyDiv w:val="1"/>
      <w:marLeft w:val="0"/>
      <w:marRight w:val="0"/>
      <w:marTop w:val="0"/>
      <w:marBottom w:val="0"/>
      <w:divBdr>
        <w:top w:val="none" w:sz="0" w:space="0" w:color="auto"/>
        <w:left w:val="none" w:sz="0" w:space="0" w:color="auto"/>
        <w:bottom w:val="none" w:sz="0" w:space="0" w:color="auto"/>
        <w:right w:val="none" w:sz="0" w:space="0" w:color="auto"/>
      </w:divBdr>
    </w:div>
    <w:div w:id="545030124">
      <w:bodyDiv w:val="1"/>
      <w:marLeft w:val="0"/>
      <w:marRight w:val="0"/>
      <w:marTop w:val="0"/>
      <w:marBottom w:val="0"/>
      <w:divBdr>
        <w:top w:val="none" w:sz="0" w:space="0" w:color="auto"/>
        <w:left w:val="none" w:sz="0" w:space="0" w:color="auto"/>
        <w:bottom w:val="none" w:sz="0" w:space="0" w:color="auto"/>
        <w:right w:val="none" w:sz="0" w:space="0" w:color="auto"/>
      </w:divBdr>
    </w:div>
    <w:div w:id="655500099">
      <w:bodyDiv w:val="1"/>
      <w:marLeft w:val="0"/>
      <w:marRight w:val="0"/>
      <w:marTop w:val="0"/>
      <w:marBottom w:val="0"/>
      <w:divBdr>
        <w:top w:val="none" w:sz="0" w:space="0" w:color="auto"/>
        <w:left w:val="none" w:sz="0" w:space="0" w:color="auto"/>
        <w:bottom w:val="none" w:sz="0" w:space="0" w:color="auto"/>
        <w:right w:val="none" w:sz="0" w:space="0" w:color="auto"/>
      </w:divBdr>
    </w:div>
    <w:div w:id="919681438">
      <w:bodyDiv w:val="1"/>
      <w:marLeft w:val="0"/>
      <w:marRight w:val="0"/>
      <w:marTop w:val="0"/>
      <w:marBottom w:val="0"/>
      <w:divBdr>
        <w:top w:val="none" w:sz="0" w:space="0" w:color="auto"/>
        <w:left w:val="none" w:sz="0" w:space="0" w:color="auto"/>
        <w:bottom w:val="none" w:sz="0" w:space="0" w:color="auto"/>
        <w:right w:val="none" w:sz="0" w:space="0" w:color="auto"/>
      </w:divBdr>
    </w:div>
    <w:div w:id="1136410843">
      <w:bodyDiv w:val="1"/>
      <w:marLeft w:val="0"/>
      <w:marRight w:val="0"/>
      <w:marTop w:val="0"/>
      <w:marBottom w:val="0"/>
      <w:divBdr>
        <w:top w:val="none" w:sz="0" w:space="0" w:color="auto"/>
        <w:left w:val="none" w:sz="0" w:space="0" w:color="auto"/>
        <w:bottom w:val="none" w:sz="0" w:space="0" w:color="auto"/>
        <w:right w:val="none" w:sz="0" w:space="0" w:color="auto"/>
      </w:divBdr>
    </w:div>
    <w:div w:id="1273518931">
      <w:bodyDiv w:val="1"/>
      <w:marLeft w:val="0"/>
      <w:marRight w:val="0"/>
      <w:marTop w:val="0"/>
      <w:marBottom w:val="0"/>
      <w:divBdr>
        <w:top w:val="none" w:sz="0" w:space="0" w:color="auto"/>
        <w:left w:val="none" w:sz="0" w:space="0" w:color="auto"/>
        <w:bottom w:val="none" w:sz="0" w:space="0" w:color="auto"/>
        <w:right w:val="none" w:sz="0" w:space="0" w:color="auto"/>
      </w:divBdr>
    </w:div>
    <w:div w:id="1342776485">
      <w:bodyDiv w:val="1"/>
      <w:marLeft w:val="0"/>
      <w:marRight w:val="0"/>
      <w:marTop w:val="0"/>
      <w:marBottom w:val="0"/>
      <w:divBdr>
        <w:top w:val="none" w:sz="0" w:space="0" w:color="auto"/>
        <w:left w:val="none" w:sz="0" w:space="0" w:color="auto"/>
        <w:bottom w:val="none" w:sz="0" w:space="0" w:color="auto"/>
        <w:right w:val="none" w:sz="0" w:space="0" w:color="auto"/>
      </w:divBdr>
    </w:div>
    <w:div w:id="1383941134">
      <w:bodyDiv w:val="1"/>
      <w:marLeft w:val="0"/>
      <w:marRight w:val="0"/>
      <w:marTop w:val="0"/>
      <w:marBottom w:val="0"/>
      <w:divBdr>
        <w:top w:val="none" w:sz="0" w:space="0" w:color="auto"/>
        <w:left w:val="none" w:sz="0" w:space="0" w:color="auto"/>
        <w:bottom w:val="none" w:sz="0" w:space="0" w:color="auto"/>
        <w:right w:val="none" w:sz="0" w:space="0" w:color="auto"/>
      </w:divBdr>
    </w:div>
    <w:div w:id="1395736640">
      <w:bodyDiv w:val="1"/>
      <w:marLeft w:val="0"/>
      <w:marRight w:val="0"/>
      <w:marTop w:val="0"/>
      <w:marBottom w:val="0"/>
      <w:divBdr>
        <w:top w:val="none" w:sz="0" w:space="0" w:color="auto"/>
        <w:left w:val="none" w:sz="0" w:space="0" w:color="auto"/>
        <w:bottom w:val="none" w:sz="0" w:space="0" w:color="auto"/>
        <w:right w:val="none" w:sz="0" w:space="0" w:color="auto"/>
      </w:divBdr>
    </w:div>
    <w:div w:id="1431658736">
      <w:bodyDiv w:val="1"/>
      <w:marLeft w:val="0"/>
      <w:marRight w:val="0"/>
      <w:marTop w:val="0"/>
      <w:marBottom w:val="0"/>
      <w:divBdr>
        <w:top w:val="none" w:sz="0" w:space="0" w:color="auto"/>
        <w:left w:val="none" w:sz="0" w:space="0" w:color="auto"/>
        <w:bottom w:val="none" w:sz="0" w:space="0" w:color="auto"/>
        <w:right w:val="none" w:sz="0" w:space="0" w:color="auto"/>
      </w:divBdr>
    </w:div>
    <w:div w:id="1489057855">
      <w:bodyDiv w:val="1"/>
      <w:marLeft w:val="0"/>
      <w:marRight w:val="0"/>
      <w:marTop w:val="0"/>
      <w:marBottom w:val="0"/>
      <w:divBdr>
        <w:top w:val="none" w:sz="0" w:space="0" w:color="auto"/>
        <w:left w:val="none" w:sz="0" w:space="0" w:color="auto"/>
        <w:bottom w:val="none" w:sz="0" w:space="0" w:color="auto"/>
        <w:right w:val="none" w:sz="0" w:space="0" w:color="auto"/>
      </w:divBdr>
    </w:div>
    <w:div w:id="1543665045">
      <w:bodyDiv w:val="1"/>
      <w:marLeft w:val="0"/>
      <w:marRight w:val="0"/>
      <w:marTop w:val="0"/>
      <w:marBottom w:val="0"/>
      <w:divBdr>
        <w:top w:val="none" w:sz="0" w:space="0" w:color="auto"/>
        <w:left w:val="none" w:sz="0" w:space="0" w:color="auto"/>
        <w:bottom w:val="none" w:sz="0" w:space="0" w:color="auto"/>
        <w:right w:val="none" w:sz="0" w:space="0" w:color="auto"/>
      </w:divBdr>
    </w:div>
    <w:div w:id="1622882950">
      <w:bodyDiv w:val="1"/>
      <w:marLeft w:val="0"/>
      <w:marRight w:val="0"/>
      <w:marTop w:val="0"/>
      <w:marBottom w:val="0"/>
      <w:divBdr>
        <w:top w:val="none" w:sz="0" w:space="0" w:color="auto"/>
        <w:left w:val="none" w:sz="0" w:space="0" w:color="auto"/>
        <w:bottom w:val="none" w:sz="0" w:space="0" w:color="auto"/>
        <w:right w:val="none" w:sz="0" w:space="0" w:color="auto"/>
      </w:divBdr>
    </w:div>
    <w:div w:id="1671719104">
      <w:bodyDiv w:val="1"/>
      <w:marLeft w:val="0"/>
      <w:marRight w:val="0"/>
      <w:marTop w:val="0"/>
      <w:marBottom w:val="0"/>
      <w:divBdr>
        <w:top w:val="none" w:sz="0" w:space="0" w:color="auto"/>
        <w:left w:val="none" w:sz="0" w:space="0" w:color="auto"/>
        <w:bottom w:val="none" w:sz="0" w:space="0" w:color="auto"/>
        <w:right w:val="none" w:sz="0" w:space="0" w:color="auto"/>
      </w:divBdr>
    </w:div>
    <w:div w:id="1682006906">
      <w:bodyDiv w:val="1"/>
      <w:marLeft w:val="0"/>
      <w:marRight w:val="0"/>
      <w:marTop w:val="0"/>
      <w:marBottom w:val="0"/>
      <w:divBdr>
        <w:top w:val="none" w:sz="0" w:space="0" w:color="auto"/>
        <w:left w:val="none" w:sz="0" w:space="0" w:color="auto"/>
        <w:bottom w:val="none" w:sz="0" w:space="0" w:color="auto"/>
        <w:right w:val="none" w:sz="0" w:space="0" w:color="auto"/>
      </w:divBdr>
    </w:div>
    <w:div w:id="1743063340">
      <w:bodyDiv w:val="1"/>
      <w:marLeft w:val="0"/>
      <w:marRight w:val="0"/>
      <w:marTop w:val="0"/>
      <w:marBottom w:val="0"/>
      <w:divBdr>
        <w:top w:val="none" w:sz="0" w:space="0" w:color="auto"/>
        <w:left w:val="none" w:sz="0" w:space="0" w:color="auto"/>
        <w:bottom w:val="none" w:sz="0" w:space="0" w:color="auto"/>
        <w:right w:val="none" w:sz="0" w:space="0" w:color="auto"/>
      </w:divBdr>
    </w:div>
    <w:div w:id="1850219292">
      <w:bodyDiv w:val="1"/>
      <w:marLeft w:val="0"/>
      <w:marRight w:val="0"/>
      <w:marTop w:val="0"/>
      <w:marBottom w:val="0"/>
      <w:divBdr>
        <w:top w:val="none" w:sz="0" w:space="0" w:color="auto"/>
        <w:left w:val="none" w:sz="0" w:space="0" w:color="auto"/>
        <w:bottom w:val="none" w:sz="0" w:space="0" w:color="auto"/>
        <w:right w:val="none" w:sz="0" w:space="0" w:color="auto"/>
      </w:divBdr>
    </w:div>
    <w:div w:id="1934705156">
      <w:bodyDiv w:val="1"/>
      <w:marLeft w:val="0"/>
      <w:marRight w:val="0"/>
      <w:marTop w:val="0"/>
      <w:marBottom w:val="0"/>
      <w:divBdr>
        <w:top w:val="none" w:sz="0" w:space="0" w:color="auto"/>
        <w:left w:val="none" w:sz="0" w:space="0" w:color="auto"/>
        <w:bottom w:val="none" w:sz="0" w:space="0" w:color="auto"/>
        <w:right w:val="none" w:sz="0" w:space="0" w:color="auto"/>
      </w:divBdr>
    </w:div>
    <w:div w:id="1995451657">
      <w:bodyDiv w:val="1"/>
      <w:marLeft w:val="0"/>
      <w:marRight w:val="0"/>
      <w:marTop w:val="0"/>
      <w:marBottom w:val="0"/>
      <w:divBdr>
        <w:top w:val="none" w:sz="0" w:space="0" w:color="auto"/>
        <w:left w:val="none" w:sz="0" w:space="0" w:color="auto"/>
        <w:bottom w:val="none" w:sz="0" w:space="0" w:color="auto"/>
        <w:right w:val="none" w:sz="0" w:space="0" w:color="auto"/>
      </w:divBdr>
    </w:div>
    <w:div w:id="2011058885">
      <w:bodyDiv w:val="1"/>
      <w:marLeft w:val="0"/>
      <w:marRight w:val="0"/>
      <w:marTop w:val="0"/>
      <w:marBottom w:val="0"/>
      <w:divBdr>
        <w:top w:val="none" w:sz="0" w:space="0" w:color="auto"/>
        <w:left w:val="none" w:sz="0" w:space="0" w:color="auto"/>
        <w:bottom w:val="none" w:sz="0" w:space="0" w:color="auto"/>
        <w:right w:val="none" w:sz="0" w:space="0" w:color="auto"/>
      </w:divBdr>
    </w:div>
    <w:div w:id="206602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220</Words>
  <Characters>1256</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DRSK</Company>
  <LinksUpToDate>false</LinksUpToDate>
  <CharactersWithSpaces>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Балак Дмитрий Алексеевич</dc:creator>
  <cp:keywords/>
  <dc:description/>
  <cp:lastModifiedBy>Садовникова Екатерина Александровна</cp:lastModifiedBy>
  <cp:revision>12</cp:revision>
  <dcterms:created xsi:type="dcterms:W3CDTF">2021-08-31T05:09:00Z</dcterms:created>
  <dcterms:modified xsi:type="dcterms:W3CDTF">2021-10-18T05:52:00Z</dcterms:modified>
</cp:coreProperties>
</file>